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Повестка </w:t>
      </w:r>
      <w:bookmarkStart w:id="0" w:name="_GoBack"/>
      <w:bookmarkEnd w:id="0"/>
      <w:r>
        <w:rPr>
          <w:rFonts w:cs="Times New Roman" w:ascii="Times New Roman" w:hAnsi="Times New Roman"/>
          <w:sz w:val="26"/>
          <w:szCs w:val="26"/>
        </w:rPr>
        <w:t>заседания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Общественного совета при Тамбовском УФАС России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на 31 марта 2023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Рассмотрение вопросов, касающихся проблем маркировки интернет-рекламы (Л.В. Сенникова, член ОС при Тамбовском УФАС России, представители Роскомнадзора по Тамбовской области). </w:t>
      </w:r>
    </w:p>
    <w:p>
      <w:pPr>
        <w:pStyle w:val="ListParagraph"/>
        <w:numPr>
          <w:ilvl w:val="0"/>
          <w:numId w:val="0"/>
        </w:numPr>
        <w:ind w:left="36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>О результатах деятельности Тамбовского УФАС России за 2022 год (Е.А. Гречишникова, руководитель Тамбовского УФАС России).</w:t>
      </w:r>
    </w:p>
    <w:p>
      <w:pPr>
        <w:pStyle w:val="ListParagraph"/>
        <w:numPr>
          <w:ilvl w:val="0"/>
          <w:numId w:val="0"/>
        </w:numPr>
        <w:ind w:left="36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</w:rPr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 xml:space="preserve">О состоянии внедрения антимонопольного комплаенса в органах власти Тамбовской области (С.В. Мазаева, заместитель руководителя-начальник отдела антимонопольного контроля хозяйствующих субъектов). </w:t>
      </w:r>
    </w:p>
    <w:p>
      <w:pPr>
        <w:pStyle w:val="ListParagraph"/>
        <w:numPr>
          <w:ilvl w:val="0"/>
          <w:numId w:val="0"/>
        </w:numPr>
        <w:ind w:left="360" w:hanging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>О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бсуждение аналитической справки по результатам анализа организации Тамбовским УФАС России антимонопольного комплаенса в 2021 году (С.В. Мазаева, заместитель руководителя-начальник отдела антимонопольного контроля хозяйствующих субъектов.</w:t>
      </w:r>
    </w:p>
    <w:p>
      <w:pPr>
        <w:pStyle w:val="ListParagraph"/>
        <w:numPr>
          <w:ilvl w:val="0"/>
          <w:numId w:val="0"/>
        </w:numPr>
        <w:ind w:left="360" w:hanging="0"/>
        <w:jc w:val="both"/>
        <w:rPr>
          <w:rFonts w:ascii="Times New Roman" w:hAnsi="Times New Roman" w:eastAsia="Calibri" w:cs="Times New Roman"/>
          <w:bCs/>
          <w:color w:val="000000"/>
          <w:kern w:val="0"/>
          <w:sz w:val="26"/>
          <w:szCs w:val="26"/>
          <w:lang w:val="ru-RU" w:eastAsia="en-US" w:bidi="ar-SA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Разное</w:t>
      </w:r>
    </w:p>
    <w:p>
      <w:pPr>
        <w:pStyle w:val="ListParagraph"/>
        <w:jc w:val="both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</w:r>
    </w:p>
    <w:p>
      <w:pPr>
        <w:pStyle w:val="ListParagraph"/>
        <w:jc w:val="both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</w:r>
    </w:p>
    <w:p>
      <w:pPr>
        <w:pStyle w:val="ListParagraph"/>
        <w:numPr>
          <w:ilvl w:val="0"/>
          <w:numId w:val="0"/>
        </w:numPr>
        <w:spacing w:before="0" w:after="160"/>
        <w:ind w:left="0" w:hanging="0"/>
        <w:contextualSpacing/>
        <w:jc w:val="both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eastAsia="Calibri" w:cs="Times New Roman" w:eastAsia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556e62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d266c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nnotationtext"/>
    <w:uiPriority w:val="99"/>
    <w:semiHidden/>
    <w:qFormat/>
    <w:rsid w:val="001d266c"/>
    <w:rPr>
      <w:sz w:val="20"/>
      <w:szCs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73c2e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556e6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Style15"/>
    <w:uiPriority w:val="99"/>
    <w:semiHidden/>
    <w:unhideWhenUsed/>
    <w:qFormat/>
    <w:rsid w:val="001d266c"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6a5cd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Application>LibreOffice/7.3.2.2$Windows_X86_64 LibreOffice_project/49f2b1bff42cfccbd8f788c8dc32c1c309559be0</Application>
  <AppVersion>15.0000</AppVersion>
  <Pages>1</Pages>
  <Words>96</Words>
  <Characters>746</Characters>
  <CharactersWithSpaces>833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2022-06-17T07:18:00Z</dcterms:created>
  <dc:creator>Светлана Владимировна Мазаева</dc:creator>
  <dc:description/>
  <dc:language>ru-RU</dc:language>
  <cp:lastModifiedBy/>
  <dcterms:modified xsi:type="dcterms:W3CDTF">2023-03-31T10:08:54Z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