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1" w:rsidRDefault="004C2C7E" w:rsidP="00455BB3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455BB3">
        <w:rPr>
          <w:b/>
          <w:color w:val="000000"/>
          <w:sz w:val="32"/>
          <w:szCs w:val="32"/>
        </w:rPr>
        <w:t>Ответы на вопросы, поступившие в рамках публичных обсуждений 19.09.2017</w:t>
      </w:r>
    </w:p>
    <w:p w:rsidR="004F1AE1" w:rsidRPr="004F1AE1" w:rsidRDefault="004F1AE1" w:rsidP="004F1AE1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2"/>
          <w:szCs w:val="32"/>
        </w:rPr>
      </w:pPr>
    </w:p>
    <w:p w:rsidR="001E46D1" w:rsidRPr="001E46D1" w:rsidRDefault="001E46D1" w:rsidP="001E46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46D1">
        <w:rPr>
          <w:rFonts w:ascii="Times New Roman" w:hAnsi="Times New Roman"/>
          <w:b/>
          <w:sz w:val="26"/>
          <w:szCs w:val="26"/>
        </w:rPr>
        <w:t xml:space="preserve">Вопрос: </w:t>
      </w:r>
      <w:r w:rsidRPr="001E46D1">
        <w:rPr>
          <w:rFonts w:ascii="Times New Roman" w:hAnsi="Times New Roman"/>
          <w:sz w:val="26"/>
          <w:szCs w:val="26"/>
        </w:rPr>
        <w:t>Разграничение понятий вывеска и рекламная конструкция.</w:t>
      </w:r>
    </w:p>
    <w:p w:rsidR="001E46D1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46D1">
        <w:rPr>
          <w:rFonts w:ascii="Times New Roman" w:hAnsi="Times New Roman" w:cs="Times New Roman"/>
          <w:b/>
          <w:bCs/>
          <w:sz w:val="26"/>
          <w:szCs w:val="26"/>
        </w:rPr>
        <w:t>Ответ: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3A49">
        <w:rPr>
          <w:rFonts w:ascii="Times New Roman" w:hAnsi="Times New Roman" w:cs="Times New Roman"/>
          <w:bCs/>
          <w:sz w:val="26"/>
          <w:szCs w:val="26"/>
        </w:rPr>
        <w:t xml:space="preserve">Определение термина «рекламная конструкция» дано в </w:t>
      </w:r>
      <w:hyperlink r:id="rId7" w:history="1">
        <w:r w:rsidRPr="00643A49">
          <w:rPr>
            <w:rFonts w:ascii="Times New Roman" w:hAnsi="Times New Roman" w:cs="Times New Roman"/>
            <w:bCs/>
            <w:sz w:val="26"/>
            <w:szCs w:val="26"/>
          </w:rPr>
          <w:t>части 1 статьи 19</w:t>
        </w:r>
      </w:hyperlink>
      <w:r w:rsidRPr="00643A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3A49">
        <w:rPr>
          <w:rFonts w:ascii="Times New Roman" w:hAnsi="Times New Roman" w:cs="Times New Roman"/>
          <w:bCs/>
          <w:sz w:val="26"/>
          <w:szCs w:val="26"/>
          <w:lang w:bidi="ru-RU"/>
        </w:rPr>
        <w:t>Закона о рекламе -</w:t>
      </w:r>
      <w:r w:rsidRPr="00643A49">
        <w:rPr>
          <w:rFonts w:ascii="Times New Roman" w:hAnsi="Times New Roman" w:cs="Times New Roman"/>
          <w:bCs/>
          <w:sz w:val="26"/>
          <w:szCs w:val="26"/>
        </w:rPr>
        <w:t xml:space="preserve"> щиты, стенды, строительные сетки, перетяжки, электронные табло, проекционные и иные предназначенные для проекции рекламы на любые поверхности оборудования,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1E46D1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Технически всё перечисленное может использоваться и для размещения вывесок информационного и др. характера.</w:t>
      </w:r>
    </w:p>
    <w:p w:rsidR="001E46D1" w:rsidRPr="00643A49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Основным отличием рекламной конструкции от вывески является ее содержание, поскольку на рекламной конструкции распространяется только рекламная информация</w:t>
      </w:r>
      <w:r w:rsidRPr="001D44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1E46D1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519D4">
        <w:rPr>
          <w:rFonts w:ascii="Times New Roman" w:hAnsi="Times New Roman" w:cs="Times New Roman"/>
          <w:sz w:val="26"/>
          <w:szCs w:val="26"/>
        </w:rPr>
        <w:t xml:space="preserve">огласно пункту 1 статьи 3 </w:t>
      </w:r>
      <w:r>
        <w:rPr>
          <w:rFonts w:ascii="Times New Roman" w:hAnsi="Times New Roman" w:cs="Times New Roman"/>
          <w:sz w:val="26"/>
          <w:szCs w:val="26"/>
        </w:rPr>
        <w:t xml:space="preserve">Закона о </w:t>
      </w:r>
      <w:r w:rsidRPr="005519D4">
        <w:rPr>
          <w:rFonts w:ascii="Times New Roman" w:hAnsi="Times New Roman" w:cs="Times New Roman"/>
          <w:sz w:val="26"/>
          <w:szCs w:val="26"/>
        </w:rPr>
        <w:t>рекламе,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1E46D1" w:rsidRPr="00AA746E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47B">
        <w:rPr>
          <w:rFonts w:ascii="Times New Roman" w:hAnsi="Times New Roman"/>
          <w:sz w:val="26"/>
          <w:szCs w:val="26"/>
        </w:rPr>
        <w:t xml:space="preserve">Согласно пункту 2 статьи 3 Закона </w:t>
      </w:r>
      <w:r>
        <w:rPr>
          <w:rFonts w:ascii="Times New Roman" w:hAnsi="Times New Roman"/>
          <w:sz w:val="26"/>
          <w:szCs w:val="26"/>
        </w:rPr>
        <w:t>о</w:t>
      </w:r>
      <w:r w:rsidRPr="001D447B">
        <w:rPr>
          <w:rFonts w:ascii="Times New Roman" w:hAnsi="Times New Roman"/>
          <w:sz w:val="26"/>
          <w:szCs w:val="26"/>
        </w:rPr>
        <w:t xml:space="preserve"> рекламе объект рекламирования – это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1E46D1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47B">
        <w:rPr>
          <w:rFonts w:ascii="Times New Roman" w:hAnsi="Times New Roman"/>
          <w:sz w:val="26"/>
          <w:szCs w:val="26"/>
        </w:rPr>
        <w:t xml:space="preserve">При этом в соответствии с пунктами 2 и 5 части 2 статьи 2 Закона </w:t>
      </w:r>
      <w:r>
        <w:rPr>
          <w:rFonts w:ascii="Times New Roman" w:hAnsi="Times New Roman"/>
          <w:sz w:val="26"/>
          <w:szCs w:val="26"/>
        </w:rPr>
        <w:t>о</w:t>
      </w:r>
      <w:r w:rsidRPr="001D447B">
        <w:rPr>
          <w:rFonts w:ascii="Times New Roman" w:hAnsi="Times New Roman"/>
          <w:sz w:val="26"/>
          <w:szCs w:val="26"/>
        </w:rPr>
        <w:t xml:space="preserve"> рекламе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законом, а также </w:t>
      </w:r>
      <w:r w:rsidRPr="00AA746E">
        <w:rPr>
          <w:rFonts w:ascii="Times New Roman" w:hAnsi="Times New Roman"/>
          <w:b/>
          <w:sz w:val="26"/>
          <w:szCs w:val="26"/>
        </w:rPr>
        <w:t>на вывески и указатели</w:t>
      </w:r>
      <w:r w:rsidRPr="001D447B">
        <w:rPr>
          <w:rFonts w:ascii="Times New Roman" w:hAnsi="Times New Roman"/>
          <w:sz w:val="26"/>
          <w:szCs w:val="26"/>
        </w:rPr>
        <w:t>, не содержащие сведений рекламного характера.</w:t>
      </w:r>
      <w:r>
        <w:rPr>
          <w:rFonts w:ascii="Times New Roman" w:hAnsi="Times New Roman"/>
          <w:sz w:val="26"/>
          <w:szCs w:val="26"/>
        </w:rPr>
        <w:tab/>
      </w:r>
    </w:p>
    <w:p w:rsidR="001E46D1" w:rsidRDefault="001E46D1" w:rsidP="001E46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D447B">
        <w:rPr>
          <w:rFonts w:ascii="Times New Roman" w:hAnsi="Times New Roman"/>
          <w:sz w:val="26"/>
          <w:szCs w:val="26"/>
        </w:rPr>
        <w:t>Кроме того, согласно пункту 18 Информационного письма Президиума Высшего Арбитражного Суда Российской Федерации от 25.12.1998 № 37 «Обзор практики рассмотрения споров, связанных с применением законодательства о рекламе»,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</w:t>
      </w:r>
      <w:r>
        <w:rPr>
          <w:rFonts w:ascii="Times New Roman" w:hAnsi="Times New Roman"/>
          <w:sz w:val="26"/>
          <w:szCs w:val="26"/>
        </w:rPr>
        <w:t>х</w:t>
      </w:r>
      <w:r w:rsidRPr="001D447B">
        <w:rPr>
          <w:rFonts w:ascii="Times New Roman" w:hAnsi="Times New Roman"/>
          <w:sz w:val="26"/>
          <w:szCs w:val="26"/>
        </w:rPr>
        <w:t xml:space="preserve"> исполнения на соответствующей вывеске.</w:t>
      </w:r>
    </w:p>
    <w:p w:rsidR="001E46D1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46D3">
        <w:rPr>
          <w:rFonts w:ascii="Times New Roman" w:hAnsi="Times New Roman"/>
          <w:sz w:val="26"/>
          <w:szCs w:val="26"/>
        </w:rPr>
        <w:t xml:space="preserve">В свою очередь, требования к вывескам установлены </w:t>
      </w:r>
      <w:r w:rsidRPr="006146D3">
        <w:rPr>
          <w:rFonts w:ascii="Times New Roman" w:hAnsi="Times New Roman" w:cs="Times New Roman"/>
          <w:sz w:val="26"/>
          <w:szCs w:val="26"/>
        </w:rPr>
        <w:t xml:space="preserve">частью 1 </w:t>
      </w:r>
      <w:r w:rsidRPr="006146D3">
        <w:rPr>
          <w:rFonts w:ascii="Times New Roman" w:hAnsi="Times New Roman"/>
          <w:sz w:val="26"/>
          <w:szCs w:val="26"/>
        </w:rPr>
        <w:t xml:space="preserve">статьи 9 </w:t>
      </w:r>
      <w:r w:rsidRPr="006146D3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>
        <w:rPr>
          <w:rFonts w:ascii="Times New Roman" w:hAnsi="Times New Roman" w:cs="Times New Roman"/>
          <w:sz w:val="26"/>
          <w:szCs w:val="26"/>
        </w:rPr>
        <w:t xml:space="preserve">07.02.1992 № 2300-I «О защите прав потребителей», согласно которой продавец обязан разместить на вывеске </w:t>
      </w:r>
      <w:r w:rsidRPr="00737DB0">
        <w:rPr>
          <w:rFonts w:ascii="Times New Roman" w:hAnsi="Times New Roman" w:cs="Times New Roman"/>
          <w:b/>
          <w:sz w:val="26"/>
          <w:szCs w:val="26"/>
        </w:rPr>
        <w:t>наименование своей организации, место ее нахождения и режим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46D1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447B">
        <w:rPr>
          <w:rFonts w:ascii="Times New Roman" w:hAnsi="Times New Roman"/>
          <w:sz w:val="26"/>
          <w:szCs w:val="26"/>
        </w:rPr>
        <w:t xml:space="preserve">В соответствии с пунктом 1 постановления Пленума Высшего Арбитражного Суда Российской Федерации № 58 от 08.10.2012 «О некоторых вопросах практики применения арбитражными судами Федерального закона </w:t>
      </w:r>
      <w:r>
        <w:rPr>
          <w:rFonts w:ascii="Times New Roman" w:hAnsi="Times New Roman"/>
          <w:sz w:val="26"/>
          <w:szCs w:val="26"/>
        </w:rPr>
        <w:t>о</w:t>
      </w:r>
      <w:r w:rsidRPr="001D447B">
        <w:rPr>
          <w:rFonts w:ascii="Times New Roman" w:hAnsi="Times New Roman"/>
          <w:sz w:val="26"/>
          <w:szCs w:val="26"/>
        </w:rPr>
        <w:t xml:space="preserve"> рекламе информация, обязательная к размещению в силу закона или в силу обычая делового оборота, также не является рекламной.</w:t>
      </w:r>
    </w:p>
    <w:p w:rsidR="001E46D1" w:rsidRPr="00387013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7013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в соответствии с  разъяснениями Федеральной антимонопольной службы, опубликованными на сайте </w:t>
      </w:r>
      <w:hyperlink r:id="rId8" w:history="1">
        <w:r w:rsidRPr="003870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8701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3870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fas</w:t>
        </w:r>
        <w:r w:rsidRPr="0038701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3870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38701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38701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87013">
        <w:rPr>
          <w:rFonts w:ascii="Times New Roman" w:hAnsi="Times New Roman" w:cs="Times New Roman"/>
          <w:sz w:val="26"/>
          <w:szCs w:val="26"/>
        </w:rPr>
        <w:t xml:space="preserve">, сведения, размещенные в месте нахождения организации и содержащие </w:t>
      </w:r>
      <w:r w:rsidRPr="00387013">
        <w:rPr>
          <w:rFonts w:ascii="Times New Roman" w:hAnsi="Times New Roman" w:cs="Times New Roman"/>
          <w:b/>
          <w:sz w:val="26"/>
          <w:szCs w:val="26"/>
        </w:rPr>
        <w:t>указания на наименование и профиль деятельности</w:t>
      </w:r>
      <w:r w:rsidRPr="00387013">
        <w:rPr>
          <w:rFonts w:ascii="Times New Roman" w:hAnsi="Times New Roman" w:cs="Times New Roman"/>
          <w:sz w:val="26"/>
          <w:szCs w:val="26"/>
        </w:rPr>
        <w:t>, не подпадают под законодательное определение рекламы, так как отвечают целям обозначения мест нахождения организации. К данным сведениям не применяются требования законодательства Российской Федерации о рекламе.</w:t>
      </w:r>
    </w:p>
    <w:p w:rsidR="001E46D1" w:rsidRDefault="001E46D1" w:rsidP="001E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изложенное, на здании (или ином объекте) в месте нахождения организации, ее наименования, в том числе, если такое указание осуществляется с использованием товарного знака или его части, а также профиля деятельности и перечня оказываемых услуг, не может рассматриваться в качестве рекламы.</w:t>
      </w:r>
    </w:p>
    <w:p w:rsidR="001E46D1" w:rsidRDefault="001E46D1" w:rsidP="001E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этого, можно сделать вывод, что в том случае, когда содержание информации, размещенной на какой-либо конструкции (щиты, стенды, остановочные павильоны и т.д.) направлено на привлечение внимания к какому-либо товару, средству индивидуализации юридического лица и (или) товара, иному объекту рекламирования, предусмотренного ст. 3 Закона о рекламе, то такую конструкцию следует считать рекламной.</w:t>
      </w:r>
    </w:p>
    <w:p w:rsidR="001E46D1" w:rsidRDefault="001E46D1" w:rsidP="001E46D1"/>
    <w:p w:rsidR="001E46D1" w:rsidRPr="001E46D1" w:rsidRDefault="001E46D1" w:rsidP="001E46D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E46D1">
        <w:rPr>
          <w:rFonts w:ascii="Times New Roman" w:hAnsi="Times New Roman"/>
          <w:b/>
          <w:sz w:val="26"/>
          <w:szCs w:val="26"/>
        </w:rPr>
        <w:t>Вопрос:</w:t>
      </w:r>
      <w:r w:rsidRPr="001E46D1">
        <w:rPr>
          <w:rFonts w:ascii="Times New Roman" w:hAnsi="Times New Roman"/>
          <w:sz w:val="26"/>
          <w:szCs w:val="26"/>
        </w:rPr>
        <w:t xml:space="preserve"> «В соответствии со статьей 39.18 Земельного кодекса РФ земельные участки предоставляются без проведения торгов гражданам и КФХ, для осуществления КФХ его деятельности. В данном случае категория «гражданин» - это физическое лицо, ИП глава КФХ. Относится ли к данной категории индивидуальный предприниматель».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6D1">
        <w:rPr>
          <w:rFonts w:ascii="Times New Roman" w:hAnsi="Times New Roman" w:cs="Times New Roman"/>
          <w:b/>
          <w:sz w:val="26"/>
          <w:szCs w:val="26"/>
        </w:rPr>
        <w:t>Ответ: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E7706">
        <w:rPr>
          <w:rFonts w:ascii="Times New Roman" w:hAnsi="Times New Roman" w:cs="Times New Roman"/>
          <w:sz w:val="26"/>
          <w:szCs w:val="26"/>
        </w:rPr>
        <w:t>Положение статьи 39.18 Земельного кодекса Российской Федерации определяет особенность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706">
        <w:rPr>
          <w:rFonts w:ascii="Times New Roman" w:hAnsi="Times New Roman" w:cs="Times New Roman"/>
          <w:sz w:val="26"/>
          <w:szCs w:val="26"/>
        </w:rPr>
        <w:t xml:space="preserve">Согласно статье 5 Земельного кодекса РФ участниками земельных отношений являются граждане, юридические лица, Российская Федерация, субъекты Российской Федерации, субъекты Российской Федерации, муниципальное образование. </w:t>
      </w:r>
    </w:p>
    <w:p w:rsidR="001E46D1" w:rsidRPr="00AE7706" w:rsidRDefault="001E46D1" w:rsidP="001E4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706">
        <w:rPr>
          <w:rFonts w:ascii="Times New Roman" w:hAnsi="Times New Roman" w:cs="Times New Roman"/>
          <w:sz w:val="26"/>
          <w:szCs w:val="26"/>
        </w:rPr>
        <w:t xml:space="preserve">Согласно статье 2 Гражданского кодекса Российской Федерации участниками регулируемых гражданским законодательством отношений являются граждане и юридические лица. В регулируемых гражданским законодательством отношениях могут участвовать также Российская Федерация, субъекты Российской Федерации и муниципальные образования   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706">
        <w:rPr>
          <w:rFonts w:ascii="Times New Roman" w:hAnsi="Times New Roman" w:cs="Times New Roman"/>
          <w:sz w:val="26"/>
          <w:szCs w:val="26"/>
        </w:rPr>
        <w:t>Согласно пункту 1 статьи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706">
        <w:rPr>
          <w:rFonts w:ascii="Times New Roman" w:hAnsi="Times New Roman" w:cs="Times New Roman"/>
          <w:sz w:val="26"/>
          <w:szCs w:val="26"/>
        </w:rPr>
        <w:t>Пунктом 5 данной статьи Гражданского кодекса РФ установлено, что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(фермерского) хозяйства, заключенного в соответствии с законом о крестьянском (фермерском) хозяйстве.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706">
        <w:rPr>
          <w:rFonts w:ascii="Times New Roman" w:hAnsi="Times New Roman" w:cs="Times New Roman"/>
          <w:sz w:val="26"/>
          <w:szCs w:val="26"/>
        </w:rPr>
        <w:lastRenderedPageBreak/>
        <w:t>Главой крестьянского (фермерского) хозяйства может быть гражданин, зарегистрированный в качестве индивидуального предпринимателя.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706">
        <w:rPr>
          <w:rFonts w:ascii="Times New Roman" w:hAnsi="Times New Roman" w:cs="Times New Roman"/>
          <w:sz w:val="26"/>
          <w:szCs w:val="26"/>
        </w:rPr>
        <w:t>Исходя из положений данной статьи Гражданского кодекса РФ, индивидуальный предприниматель приравнивается к такому виду субъектов гражданского права, как гражданин.</w:t>
      </w:r>
    </w:p>
    <w:p w:rsidR="001E46D1" w:rsidRDefault="001E46D1" w:rsidP="001E4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7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E7706">
        <w:rPr>
          <w:rFonts w:ascii="Times New Roman" w:hAnsi="Times New Roman" w:cs="Times New Roman"/>
          <w:sz w:val="26"/>
          <w:szCs w:val="26"/>
        </w:rPr>
        <w:t>При этом, Тамбовское УФАС России отмечает, что в случае, предусмотренном пунктом 39.18 Земельного кодекса РФ, индивидуальный предприниматель будет относиться к категории «гражданин» только в случае предоставления земельного участка для ведения крестьянского (фермерского)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E7706">
        <w:rPr>
          <w:rFonts w:ascii="Times New Roman" w:hAnsi="Times New Roman" w:cs="Times New Roman"/>
          <w:sz w:val="26"/>
          <w:szCs w:val="26"/>
        </w:rPr>
        <w:t>.</w:t>
      </w:r>
    </w:p>
    <w:p w:rsidR="001E46D1" w:rsidRDefault="001E46D1" w:rsidP="001E4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D1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E46D1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«возможно ли проведение аукциона на право заключения договора аренды земельного участка, на котором находится незарегистрированный объект недвижимости (магазин), построенный без разрешительной документации и заявления </w:t>
      </w:r>
      <w:r w:rsidRPr="00A564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предоставлении земельного участка».</w:t>
      </w:r>
    </w:p>
    <w:p w:rsidR="001E46D1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46D1">
        <w:rPr>
          <w:rFonts w:ascii="Times New Roman" w:hAnsi="Times New Roman"/>
          <w:b/>
          <w:sz w:val="26"/>
          <w:szCs w:val="26"/>
        </w:rPr>
        <w:t>Ответ: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706">
        <w:rPr>
          <w:rFonts w:ascii="Times New Roman" w:hAnsi="Times New Roman"/>
          <w:sz w:val="26"/>
          <w:szCs w:val="26"/>
        </w:rPr>
        <w:t>Согласно части 1 статьи 222 Гражданского кодекса РФ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7706">
        <w:rPr>
          <w:rFonts w:ascii="Times New Roman" w:hAnsi="Times New Roman"/>
          <w:sz w:val="26"/>
          <w:szCs w:val="26"/>
        </w:rPr>
        <w:t>Частью 2 данной статьи ГК РФ установлено, что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7706">
        <w:rPr>
          <w:rFonts w:ascii="Times New Roman" w:hAnsi="Times New Roman"/>
          <w:sz w:val="26"/>
          <w:szCs w:val="26"/>
        </w:rPr>
        <w:t>Самовольная постройка подлежит сносу осуществившим ее лицом либо за его счет, кроме случаев, предусмотренных пунктами 3 и 4 настоящей статьи.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7706">
        <w:rPr>
          <w:rFonts w:ascii="Times New Roman" w:hAnsi="Times New Roman"/>
          <w:sz w:val="26"/>
          <w:szCs w:val="26"/>
        </w:rPr>
        <w:t>Таким образом, по правилам статьи 222 Гражданского кодекса, недвижимый объект, созданный без согласия собственника земли, может быть квалифицирован в качестве самовольной постройки.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7706">
        <w:rPr>
          <w:rFonts w:ascii="Times New Roman" w:hAnsi="Times New Roman"/>
          <w:sz w:val="26"/>
          <w:szCs w:val="26"/>
        </w:rPr>
        <w:t>Положения Земельного кодекса РФ также говорят о том, что самовольно занятые земельные участки подлежат возврату их собственникам, землепользователям, землевладельцам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 (часть 2 статьи 76).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 (часть 3 статьи 76).</w:t>
      </w:r>
    </w:p>
    <w:p w:rsidR="001E46D1" w:rsidRPr="00AE7706" w:rsidRDefault="001E46D1" w:rsidP="001E4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706">
        <w:rPr>
          <w:rFonts w:ascii="Times New Roman" w:hAnsi="Times New Roman"/>
          <w:sz w:val="26"/>
          <w:szCs w:val="26"/>
        </w:rPr>
        <w:t>Исходя из вышеуказанного, рассматриваемый случай подпадает под вышеуказанные положения гражданского и земельного кодекса РФ, и, по мнению Тамбовского УФАС России, проведение аукциона на право заключения договора аренды земельного учас</w:t>
      </w:r>
      <w:r>
        <w:rPr>
          <w:rFonts w:ascii="Times New Roman" w:hAnsi="Times New Roman"/>
          <w:sz w:val="26"/>
          <w:szCs w:val="26"/>
        </w:rPr>
        <w:t>тка в данном случае не возможно».</w:t>
      </w:r>
    </w:p>
    <w:p w:rsidR="001E46D1" w:rsidRPr="001E46D1" w:rsidRDefault="001E46D1" w:rsidP="001E46D1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1E46D1">
        <w:rPr>
          <w:rFonts w:ascii="Times New Roman" w:hAnsi="Times New Roman"/>
          <w:b/>
          <w:bCs/>
          <w:sz w:val="26"/>
          <w:szCs w:val="26"/>
        </w:rPr>
        <w:lastRenderedPageBreak/>
        <w:t>Вопрос: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E46D1">
        <w:rPr>
          <w:rFonts w:ascii="Times New Roman" w:hAnsi="Times New Roman"/>
          <w:bCs/>
          <w:sz w:val="26"/>
          <w:szCs w:val="26"/>
        </w:rPr>
        <w:t>Является ли картельным сговором отказ от заключения контракта первого и второго участника торгов при условии, что все необходимые документы во второй части заявки приложены, сообщает следующее.</w:t>
      </w:r>
    </w:p>
    <w:p w:rsidR="001E46D1" w:rsidRDefault="001E46D1" w:rsidP="001E46D1">
      <w:pPr>
        <w:spacing w:after="0" w:line="240" w:lineRule="auto"/>
        <w:ind w:firstLine="692"/>
        <w:jc w:val="both"/>
        <w:rPr>
          <w:rFonts w:ascii="Times New Roman" w:hAnsi="Times New Roman"/>
          <w:bCs/>
          <w:sz w:val="26"/>
          <w:szCs w:val="26"/>
        </w:rPr>
      </w:pPr>
      <w:r w:rsidRPr="001E46D1">
        <w:rPr>
          <w:rFonts w:ascii="Times New Roman" w:hAnsi="Times New Roman"/>
          <w:b/>
          <w:bCs/>
          <w:sz w:val="26"/>
          <w:szCs w:val="26"/>
        </w:rPr>
        <w:t>Ответ: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853A7">
        <w:rPr>
          <w:rFonts w:ascii="Times New Roman" w:hAnsi="Times New Roman"/>
          <w:bCs/>
          <w:sz w:val="26"/>
          <w:szCs w:val="26"/>
        </w:rPr>
        <w:t>В соответствии с положениями статьи 4 Федерального закона от 26.07.2006 № 135-ФЗ «О защите конкуренции» (далее - Закон о защите конкуренции) под соглашением понимается договоренность в письменной форме, содержащаяся в документе или нескольких документах, а также</w:t>
      </w:r>
      <w:r>
        <w:rPr>
          <w:rFonts w:ascii="Times New Roman" w:hAnsi="Times New Roman"/>
          <w:bCs/>
          <w:sz w:val="26"/>
          <w:szCs w:val="26"/>
        </w:rPr>
        <w:t xml:space="preserve"> договоренность в устной форме.</w:t>
      </w:r>
    </w:p>
    <w:p w:rsidR="001E46D1" w:rsidRDefault="001E46D1" w:rsidP="001E46D1">
      <w:pPr>
        <w:spacing w:after="0" w:line="240" w:lineRule="auto"/>
        <w:ind w:firstLine="692"/>
        <w:jc w:val="both"/>
        <w:rPr>
          <w:rFonts w:ascii="Times New Roman" w:hAnsi="Times New Roman"/>
          <w:bCs/>
          <w:sz w:val="26"/>
          <w:szCs w:val="26"/>
        </w:rPr>
      </w:pPr>
      <w:r w:rsidRPr="006853A7">
        <w:rPr>
          <w:rFonts w:ascii="Times New Roman" w:hAnsi="Times New Roman"/>
          <w:bCs/>
          <w:sz w:val="26"/>
          <w:szCs w:val="26"/>
        </w:rPr>
        <w:t>Согласно пункту 2 части 1 статьи 1</w:t>
      </w:r>
      <w:r>
        <w:rPr>
          <w:rFonts w:ascii="Times New Roman" w:hAnsi="Times New Roman"/>
          <w:bCs/>
          <w:sz w:val="26"/>
          <w:szCs w:val="26"/>
        </w:rPr>
        <w:t>1</w:t>
      </w:r>
      <w:r w:rsidRPr="006853A7">
        <w:rPr>
          <w:rFonts w:ascii="Times New Roman" w:hAnsi="Times New Roman"/>
          <w:bCs/>
          <w:sz w:val="26"/>
          <w:szCs w:val="26"/>
        </w:rPr>
        <w:t xml:space="preserve">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w:p w:rsidR="001E46D1" w:rsidRDefault="001E46D1" w:rsidP="001E46D1">
      <w:pPr>
        <w:spacing w:after="0" w:line="240" w:lineRule="auto"/>
        <w:ind w:firstLine="692"/>
        <w:jc w:val="both"/>
        <w:rPr>
          <w:rFonts w:ascii="Times New Roman" w:hAnsi="Times New Roman"/>
          <w:bCs/>
          <w:sz w:val="26"/>
          <w:szCs w:val="26"/>
        </w:rPr>
      </w:pPr>
      <w:r w:rsidRPr="006853A7">
        <w:rPr>
          <w:rFonts w:ascii="Times New Roman" w:hAnsi="Times New Roman"/>
          <w:bCs/>
          <w:sz w:val="26"/>
          <w:szCs w:val="26"/>
        </w:rPr>
        <w:t xml:space="preserve">Таким образом, по смыслу указанных норм антимонопольного законодательства для квалификации действий субъектов как антиконкурентного соглашения, необходимо наличие доказательств договоренности </w:t>
      </w:r>
      <w:r>
        <w:rPr>
          <w:rFonts w:ascii="Times New Roman" w:hAnsi="Times New Roman"/>
          <w:bCs/>
          <w:sz w:val="26"/>
          <w:szCs w:val="26"/>
        </w:rPr>
        <w:t xml:space="preserve">участников одного товарного рынка (конкурентов) </w:t>
      </w:r>
      <w:r w:rsidRPr="006853A7">
        <w:rPr>
          <w:rFonts w:ascii="Times New Roman" w:hAnsi="Times New Roman"/>
          <w:bCs/>
          <w:sz w:val="26"/>
          <w:szCs w:val="26"/>
        </w:rPr>
        <w:t xml:space="preserve">в письменной (устной) форме, </w:t>
      </w:r>
      <w:r>
        <w:rPr>
          <w:rFonts w:ascii="Times New Roman" w:hAnsi="Times New Roman"/>
          <w:bCs/>
          <w:sz w:val="26"/>
          <w:szCs w:val="26"/>
        </w:rPr>
        <w:t xml:space="preserve">которое приводит (может привести) </w:t>
      </w:r>
      <w:r w:rsidRPr="006853A7">
        <w:rPr>
          <w:rFonts w:ascii="Times New Roman" w:hAnsi="Times New Roman"/>
          <w:bCs/>
          <w:sz w:val="26"/>
          <w:szCs w:val="26"/>
        </w:rPr>
        <w:t>к повышению, снижению или поддержанию цен на торгах.</w:t>
      </w:r>
    </w:p>
    <w:p w:rsidR="001E46D1" w:rsidRPr="002A0325" w:rsidRDefault="001E46D1" w:rsidP="001E46D1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с частями 4,5,6 статьи 54 </w:t>
      </w:r>
      <w:r w:rsidRPr="00993A3E">
        <w:rPr>
          <w:rFonts w:ascii="Times New Roman" w:hAnsi="Times New Roman"/>
          <w:bCs/>
          <w:sz w:val="26"/>
          <w:szCs w:val="26"/>
        </w:rPr>
        <w:t>Федераль</w:t>
      </w:r>
      <w:r>
        <w:rPr>
          <w:rFonts w:ascii="Times New Roman" w:hAnsi="Times New Roman"/>
          <w:bCs/>
          <w:sz w:val="26"/>
          <w:szCs w:val="26"/>
        </w:rPr>
        <w:t>ного закона от 05.04.2013 N 44-ФЗ «</w:t>
      </w:r>
      <w:r w:rsidRPr="00993A3E">
        <w:rPr>
          <w:rFonts w:ascii="Times New Roman" w:hAnsi="Times New Roman"/>
          <w:bCs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Cs/>
          <w:sz w:val="26"/>
          <w:szCs w:val="26"/>
        </w:rPr>
        <w:t>арственных и муниципальных нужд» (далее – Закон о контрактной системе)</w:t>
      </w:r>
      <w:r w:rsidRPr="00A14EF5">
        <w:t xml:space="preserve"> </w:t>
      </w:r>
      <w:r w:rsidRPr="00A14EF5">
        <w:rPr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 xml:space="preserve">ри уклонении победителя конкурса от заключения контракта заказчик вправе заключить контракт с участником конкурса, заявке на участие в конкурсе которого присвоен второй номер. </w:t>
      </w:r>
      <w:r w:rsidRPr="00A14EF5">
        <w:rPr>
          <w:rFonts w:ascii="Times New Roman" w:hAnsi="Times New Roman"/>
          <w:bCs/>
          <w:sz w:val="26"/>
          <w:szCs w:val="26"/>
        </w:rPr>
        <w:t xml:space="preserve">Участник конкурса, заявке на участие в конкурсе которого присвоен второй номер, вправе подписать контракт и передать его заказчику в порядке и в сроки, которые предусмотрены частью 3 настоящей статьи, или </w:t>
      </w:r>
      <w:r w:rsidRPr="00367B3D">
        <w:rPr>
          <w:rFonts w:ascii="Times New Roman" w:hAnsi="Times New Roman"/>
          <w:bCs/>
          <w:sz w:val="26"/>
          <w:szCs w:val="26"/>
          <w:u w:val="single"/>
        </w:rPr>
        <w:t>отказаться от заключения контракта.</w:t>
      </w:r>
      <w:r w:rsidRPr="00A14EF5">
        <w:rPr>
          <w:rFonts w:ascii="Times New Roman" w:hAnsi="Times New Roman"/>
          <w:bCs/>
          <w:sz w:val="26"/>
          <w:szCs w:val="26"/>
        </w:rPr>
        <w:t xml:space="preserve"> Непредоставление участником конкурса, заявке на участие в конкурсе которого присвоен второй номер, заказчику в срок, установленный настоящей статьей,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контракта. В данном случае конкурс признается </w:t>
      </w:r>
      <w:r w:rsidRPr="00A14EF5">
        <w:rPr>
          <w:rFonts w:ascii="Times New Roman" w:hAnsi="Times New Roman"/>
          <w:bCs/>
          <w:sz w:val="26"/>
          <w:szCs w:val="26"/>
          <w:u w:val="single"/>
        </w:rPr>
        <w:t>несостоявшимся.</w:t>
      </w:r>
    </w:p>
    <w:p w:rsidR="001E46D1" w:rsidRPr="002A0325" w:rsidRDefault="001E46D1" w:rsidP="001E46D1">
      <w:pPr>
        <w:spacing w:after="0" w:line="240" w:lineRule="auto"/>
        <w:ind w:firstLine="692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Частями 14, 15 статьи 70 Закона о контрактной системе установлено, что в </w:t>
      </w:r>
      <w:r w:rsidRPr="002A0325">
        <w:rPr>
          <w:rFonts w:ascii="Times New Roman" w:hAnsi="Times New Roman"/>
          <w:bCs/>
          <w:sz w:val="26"/>
          <w:szCs w:val="26"/>
        </w:rPr>
        <w:t xml:space="preserve">случае, если победитель электронного аукциона признан уклонившимся от заключения контракта, заказчик вправе заключить контракт с участником такого аукциона, который предложил такую же, как и победитель такого аукциона, цену контракта или предложение о цене контракта которого содержит лучшие условия по цене контракта, следующие после условий, предложенных победителем такого аукциона. Если этот победитель уклонился от заключения контракта, такой аукцион признается </w:t>
      </w:r>
      <w:r w:rsidRPr="002A0325">
        <w:rPr>
          <w:rFonts w:ascii="Times New Roman" w:hAnsi="Times New Roman"/>
          <w:bCs/>
          <w:sz w:val="26"/>
          <w:szCs w:val="26"/>
          <w:u w:val="single"/>
        </w:rPr>
        <w:t>несостоявшимся.</w:t>
      </w:r>
    </w:p>
    <w:p w:rsidR="001E46D1" w:rsidRPr="0017689D" w:rsidRDefault="001E46D1" w:rsidP="001E46D1">
      <w:pPr>
        <w:spacing w:after="0" w:line="240" w:lineRule="auto"/>
        <w:ind w:firstLine="692"/>
        <w:jc w:val="both"/>
        <w:rPr>
          <w:rFonts w:ascii="Times New Roman" w:hAnsi="Times New Roman"/>
          <w:bCs/>
          <w:sz w:val="26"/>
          <w:szCs w:val="26"/>
        </w:rPr>
      </w:pPr>
      <w:r w:rsidRPr="0017689D">
        <w:rPr>
          <w:rFonts w:ascii="Times New Roman" w:hAnsi="Times New Roman"/>
          <w:bCs/>
          <w:sz w:val="26"/>
          <w:szCs w:val="26"/>
        </w:rPr>
        <w:t xml:space="preserve">Таким образом, </w:t>
      </w:r>
      <w:r>
        <w:rPr>
          <w:rFonts w:ascii="Times New Roman" w:hAnsi="Times New Roman"/>
          <w:bCs/>
          <w:sz w:val="26"/>
          <w:szCs w:val="26"/>
        </w:rPr>
        <w:t>Законом о контрактной системе не предусмотрена возможность заключения контракта при наличии двух уклонившихся участников с третьим участником торгов. Следовательно, указанные действия участников торгов не могут свидетельствовать о сговоре, направленном на получение контракта третьим участником торгов по максимально возможной цене.</w:t>
      </w:r>
    </w:p>
    <w:p w:rsidR="00024969" w:rsidRDefault="00024969" w:rsidP="00192F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B8178E" w:rsidRPr="00B8178E" w:rsidRDefault="00B8178E" w:rsidP="00B8178E">
      <w:pPr>
        <w:pStyle w:val="a3"/>
        <w:numPr>
          <w:ilvl w:val="0"/>
          <w:numId w:val="3"/>
        </w:numPr>
        <w:spacing w:after="0" w:line="20" w:lineRule="atLeast"/>
        <w:ind w:left="0" w:firstLine="708"/>
        <w:jc w:val="both"/>
        <w:rPr>
          <w:rFonts w:ascii="Times New Roman" w:hAnsi="Times New Roman"/>
          <w:bCs/>
          <w:sz w:val="26"/>
        </w:rPr>
      </w:pPr>
      <w:r w:rsidRPr="00B8178E">
        <w:rPr>
          <w:rFonts w:ascii="Times New Roman" w:hAnsi="Times New Roman"/>
          <w:b/>
          <w:bCs/>
          <w:sz w:val="26"/>
        </w:rPr>
        <w:t>Вопрос:</w:t>
      </w:r>
      <w:r w:rsidRPr="00B8178E">
        <w:rPr>
          <w:rFonts w:ascii="Times New Roman" w:hAnsi="Times New Roman"/>
          <w:bCs/>
          <w:sz w:val="26"/>
        </w:rPr>
        <w:t xml:space="preserve"> Применяются ли требования положений Постановления Правительства РФ от 16.11.2015 № 1236 при закупке услуг по продлению действующей лицензии на антивирусное программное обеспечение?</w:t>
      </w:r>
    </w:p>
    <w:p w:rsidR="00B8178E" w:rsidRPr="00B8178E" w:rsidRDefault="00B8178E" w:rsidP="00B8178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8E">
        <w:rPr>
          <w:rFonts w:ascii="Times New Roman" w:hAnsi="Times New Roman" w:cs="Times New Roman"/>
          <w:b/>
          <w:bCs/>
          <w:sz w:val="26"/>
        </w:rPr>
        <w:lastRenderedPageBreak/>
        <w:t xml:space="preserve">Ответ: </w:t>
      </w:r>
      <w:r w:rsidRPr="00B8178E">
        <w:rPr>
          <w:rFonts w:ascii="Times New Roman" w:hAnsi="Times New Roman" w:cs="Times New Roman"/>
          <w:sz w:val="26"/>
          <w:szCs w:val="26"/>
        </w:rPr>
        <w:t xml:space="preserve">Тамбовское УФАС России </w:t>
      </w:r>
      <w:r w:rsidRPr="00B817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осуществляет деятельность на основании </w:t>
      </w:r>
      <w:r w:rsidRPr="00B8178E">
        <w:rPr>
          <w:rFonts w:ascii="Times New Roman" w:hAnsi="Times New Roman" w:cs="Times New Roman"/>
          <w:sz w:val="26"/>
          <w:szCs w:val="26"/>
        </w:rPr>
        <w:t xml:space="preserve">Положения о территориальном органе Федеральной антимонопольной службы, утверждённого Приказом Федеральной антимонопольной службы от 23 июля 2015 года № 649/15, в соответствии с которым территориальные антимонопольные органы не наделены функциями и полномочиями на дачу разъяснений по применению действующего законодательства, в том числе законодательства о контрактной системе. 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8E">
        <w:rPr>
          <w:rFonts w:ascii="Times New Roman" w:hAnsi="Times New Roman" w:cs="Times New Roman"/>
          <w:sz w:val="26"/>
          <w:szCs w:val="26"/>
        </w:rPr>
        <w:t xml:space="preserve">По мнению Тамбовского УФАС России, что не является разъяснением положений действующего законодательства, испрашиваемый случай подпадает под действие </w:t>
      </w:r>
      <w:r w:rsidRPr="00B8178E">
        <w:rPr>
          <w:rFonts w:ascii="Times New Roman" w:hAnsi="Times New Roman" w:cs="Times New Roman"/>
          <w:bCs/>
          <w:sz w:val="26"/>
          <w:szCs w:val="26"/>
        </w:rPr>
        <w:t xml:space="preserve">Постановления Правительства РФ от 16.11.2015 № 1236 </w:t>
      </w:r>
      <w:r w:rsidRPr="00B8178E">
        <w:rPr>
          <w:rFonts w:ascii="Times New Roman" w:hAnsi="Times New Roman" w:cs="Times New Roman"/>
          <w:sz w:val="26"/>
          <w:szCs w:val="26"/>
        </w:rPr>
        <w:t>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нужд".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8E">
        <w:rPr>
          <w:rFonts w:ascii="Times New Roman" w:hAnsi="Times New Roman" w:cs="Times New Roman"/>
          <w:sz w:val="26"/>
          <w:szCs w:val="26"/>
        </w:rPr>
        <w:t xml:space="preserve">Пунктом 2 </w:t>
      </w:r>
      <w:r w:rsidRPr="00B8178E">
        <w:rPr>
          <w:rFonts w:ascii="Times New Roman" w:hAnsi="Times New Roman" w:cs="Times New Roman"/>
          <w:bCs/>
          <w:sz w:val="26"/>
          <w:szCs w:val="26"/>
        </w:rPr>
        <w:t xml:space="preserve">Постановления Правительства РФ от 16.11.2015 № 1236 </w:t>
      </w:r>
      <w:r w:rsidRPr="00B8178E">
        <w:rPr>
          <w:rFonts w:ascii="Times New Roman" w:hAnsi="Times New Roman" w:cs="Times New Roman"/>
          <w:sz w:val="26"/>
          <w:szCs w:val="26"/>
        </w:rPr>
        <w:t xml:space="preserve">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 (далее - программное обеспечение и (или) права на него), для целей осуществления закупок для обеспечения государственных и муниципальных нужд. 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8E">
        <w:rPr>
          <w:rFonts w:ascii="Times New Roman" w:hAnsi="Times New Roman" w:cs="Times New Roman"/>
          <w:sz w:val="26"/>
          <w:szCs w:val="26"/>
        </w:rPr>
        <w:t xml:space="preserve">К исключениям, когда не применяется приведённое требование постановления, данный случай не относится.  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78E" w:rsidRPr="00B8178E" w:rsidRDefault="00B8178E" w:rsidP="00B8178E">
      <w:pPr>
        <w:shd w:val="clear" w:color="auto" w:fill="FFFFFF"/>
        <w:tabs>
          <w:tab w:val="left" w:pos="9638"/>
        </w:tabs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8178E">
        <w:rPr>
          <w:rFonts w:ascii="Times New Roman" w:hAnsi="Times New Roman" w:cs="Times New Roman"/>
          <w:sz w:val="26"/>
          <w:szCs w:val="26"/>
        </w:rPr>
        <w:t xml:space="preserve">. </w:t>
      </w:r>
      <w:r w:rsidRPr="00B8178E">
        <w:rPr>
          <w:rFonts w:ascii="Times New Roman" w:hAnsi="Times New Roman" w:cs="Times New Roman"/>
          <w:b/>
          <w:bCs/>
          <w:sz w:val="26"/>
        </w:rPr>
        <w:t xml:space="preserve">Вопрос: </w:t>
      </w:r>
      <w:r w:rsidRPr="00B8178E">
        <w:rPr>
          <w:rFonts w:ascii="Times New Roman" w:hAnsi="Times New Roman" w:cs="Times New Roman"/>
          <w:bCs/>
          <w:sz w:val="26"/>
        </w:rPr>
        <w:t>Какой</w:t>
      </w:r>
      <w:r w:rsidRPr="00B8178E">
        <w:rPr>
          <w:rFonts w:ascii="Times New Roman" w:hAnsi="Times New Roman" w:cs="Times New Roman"/>
          <w:b/>
          <w:bCs/>
          <w:sz w:val="26"/>
        </w:rPr>
        <w:t xml:space="preserve"> </w:t>
      </w:r>
      <w:r w:rsidRPr="00B8178E">
        <w:rPr>
          <w:rFonts w:ascii="Times New Roman" w:hAnsi="Times New Roman" w:cs="Times New Roman"/>
          <w:bCs/>
          <w:sz w:val="26"/>
        </w:rPr>
        <w:t>нормой (в рамках контрактной системы) определено понятие «избыточные требования»?</w:t>
      </w:r>
    </w:p>
    <w:p w:rsidR="00B8178E" w:rsidRPr="00B8178E" w:rsidRDefault="00B8178E" w:rsidP="00B8178E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B8178E">
        <w:rPr>
          <w:rFonts w:ascii="Times New Roman" w:hAnsi="Times New Roman" w:cs="Times New Roman"/>
          <w:b/>
          <w:bCs/>
          <w:sz w:val="26"/>
        </w:rPr>
        <w:t xml:space="preserve">Ответ: </w:t>
      </w:r>
      <w:r w:rsidRPr="00B8178E">
        <w:rPr>
          <w:rFonts w:ascii="Times New Roman" w:hAnsi="Times New Roman" w:cs="Times New Roman"/>
          <w:bCs/>
          <w:sz w:val="26"/>
        </w:rPr>
        <w:t>Словосочетание</w:t>
      </w:r>
      <w:r w:rsidRPr="00B8178E">
        <w:rPr>
          <w:rFonts w:ascii="Times New Roman" w:hAnsi="Times New Roman" w:cs="Times New Roman"/>
          <w:b/>
          <w:bCs/>
          <w:sz w:val="26"/>
        </w:rPr>
        <w:t xml:space="preserve"> </w:t>
      </w:r>
      <w:r w:rsidRPr="00B8178E">
        <w:rPr>
          <w:rFonts w:ascii="Times New Roman" w:hAnsi="Times New Roman" w:cs="Times New Roman"/>
          <w:bCs/>
          <w:sz w:val="26"/>
        </w:rPr>
        <w:t xml:space="preserve">«избыточные требования» не определено федеральными законами как основное понятие и потому не является нормативным. </w:t>
      </w:r>
    </w:p>
    <w:p w:rsidR="00B8178E" w:rsidRPr="00B8178E" w:rsidRDefault="00B8178E" w:rsidP="00B8178E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B8178E" w:rsidRPr="00B8178E" w:rsidRDefault="00B8178E" w:rsidP="00B8178E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7</w:t>
      </w:r>
      <w:r w:rsidRPr="00B8178E">
        <w:rPr>
          <w:rFonts w:ascii="Times New Roman" w:hAnsi="Times New Roman" w:cs="Times New Roman"/>
          <w:bCs/>
          <w:sz w:val="26"/>
        </w:rPr>
        <w:t xml:space="preserve">. </w:t>
      </w:r>
      <w:r>
        <w:rPr>
          <w:rFonts w:ascii="Times New Roman" w:hAnsi="Times New Roman" w:cs="Times New Roman"/>
          <w:bCs/>
          <w:sz w:val="26"/>
        </w:rPr>
        <w:t>В</w:t>
      </w:r>
      <w:r w:rsidRPr="00B8178E">
        <w:rPr>
          <w:rFonts w:ascii="Times New Roman" w:hAnsi="Times New Roman" w:cs="Times New Roman"/>
          <w:b/>
          <w:bCs/>
          <w:sz w:val="26"/>
        </w:rPr>
        <w:t xml:space="preserve">опрос: </w:t>
      </w:r>
      <w:r w:rsidRPr="00B8178E">
        <w:rPr>
          <w:rFonts w:ascii="Times New Roman" w:hAnsi="Times New Roman" w:cs="Times New Roman"/>
          <w:bCs/>
          <w:sz w:val="26"/>
        </w:rPr>
        <w:t xml:space="preserve">Просим разъяснить положение Постановления Правительства РФ от 30.08.2017 № 1042 в части «обязательства, которое не имеет стоимостного выражения». Что это за обязательство? Поясните Вашу позицию. </w:t>
      </w:r>
    </w:p>
    <w:p w:rsidR="00B8178E" w:rsidRPr="00B8178E" w:rsidRDefault="00B8178E" w:rsidP="00B8178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8E">
        <w:rPr>
          <w:rFonts w:ascii="Times New Roman" w:hAnsi="Times New Roman" w:cs="Times New Roman"/>
          <w:b/>
          <w:bCs/>
          <w:sz w:val="26"/>
        </w:rPr>
        <w:t xml:space="preserve">Ответ: </w:t>
      </w:r>
      <w:r w:rsidRPr="00B8178E">
        <w:rPr>
          <w:rFonts w:ascii="Times New Roman" w:hAnsi="Times New Roman" w:cs="Times New Roman"/>
          <w:bCs/>
          <w:sz w:val="26"/>
          <w:szCs w:val="26"/>
        </w:rPr>
        <w:t>Пунктом 6 Постановления Правительства РФ от 30.08.2017 № 1042 «</w:t>
      </w:r>
      <w:r w:rsidRPr="00B8178E">
        <w:rPr>
          <w:rFonts w:ascii="Times New Roman" w:hAnsi="Times New Roman" w:cs="Times New Roman"/>
          <w:sz w:val="26"/>
          <w:szCs w:val="26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1063» установлено следующее:</w:t>
      </w:r>
    </w:p>
    <w:p w:rsidR="00B8178E" w:rsidRPr="00B8178E" w:rsidRDefault="00B8178E" w:rsidP="00B8178E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78E">
        <w:rPr>
          <w:rFonts w:ascii="Times New Roman" w:hAnsi="Times New Roman" w:cs="Times New Roman"/>
          <w:sz w:val="26"/>
          <w:szCs w:val="26"/>
        </w:rPr>
        <w:t>«</w:t>
      </w:r>
      <w:bookmarkStart w:id="0" w:name="sub_1006"/>
      <w:r w:rsidRPr="00B8178E">
        <w:rPr>
          <w:rFonts w:ascii="Times New Roman" w:hAnsi="Times New Roman" w:cs="Times New Roman"/>
          <w:i/>
          <w:sz w:val="26"/>
          <w:szCs w:val="26"/>
        </w:rPr>
        <w:t xml:space="preserve">За каждый факт неисполнения или ненадлежащего исполнения поставщиком (подрядчиком, исполнителем) обязательства, предусмотренного контрактом, </w:t>
      </w:r>
      <w:r w:rsidRPr="00B8178E">
        <w:rPr>
          <w:rFonts w:ascii="Times New Roman" w:hAnsi="Times New Roman" w:cs="Times New Roman"/>
          <w:b/>
          <w:i/>
          <w:sz w:val="26"/>
          <w:szCs w:val="26"/>
        </w:rPr>
        <w:t xml:space="preserve">которое не имеет стоимостного выражения, </w:t>
      </w:r>
      <w:r w:rsidRPr="00B8178E">
        <w:rPr>
          <w:rFonts w:ascii="Times New Roman" w:hAnsi="Times New Roman" w:cs="Times New Roman"/>
          <w:i/>
          <w:sz w:val="26"/>
          <w:szCs w:val="26"/>
        </w:rPr>
        <w:t>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B8178E" w:rsidRPr="00B8178E" w:rsidRDefault="00B8178E" w:rsidP="00B8178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sub_100601"/>
      <w:bookmarkEnd w:id="0"/>
      <w:r w:rsidRPr="00B8178E">
        <w:rPr>
          <w:rFonts w:ascii="Times New Roman" w:hAnsi="Times New Roman" w:cs="Times New Roman"/>
          <w:i/>
          <w:sz w:val="26"/>
          <w:szCs w:val="26"/>
        </w:rPr>
        <w:lastRenderedPageBreak/>
        <w:t>а) 1000 рублей, если цена контракта не превышает 3 млн. рублей;</w:t>
      </w:r>
    </w:p>
    <w:p w:rsidR="00B8178E" w:rsidRPr="00B8178E" w:rsidRDefault="00B8178E" w:rsidP="00B8178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2" w:name="sub_100602"/>
      <w:bookmarkEnd w:id="1"/>
      <w:r w:rsidRPr="00B8178E">
        <w:rPr>
          <w:rFonts w:ascii="Times New Roman" w:hAnsi="Times New Roman" w:cs="Times New Roman"/>
          <w:i/>
          <w:sz w:val="26"/>
          <w:szCs w:val="26"/>
        </w:rPr>
        <w:t>б) 5000 рублей, если цена контракта составляет от 3 млн. рублей до 50 млн. рублей (включительно);</w:t>
      </w:r>
    </w:p>
    <w:p w:rsidR="00B8178E" w:rsidRPr="00B8178E" w:rsidRDefault="00B8178E" w:rsidP="00B8178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3" w:name="sub_100603"/>
      <w:bookmarkEnd w:id="2"/>
      <w:r w:rsidRPr="00B8178E">
        <w:rPr>
          <w:rFonts w:ascii="Times New Roman" w:hAnsi="Times New Roman" w:cs="Times New Roman"/>
          <w:i/>
          <w:sz w:val="26"/>
          <w:szCs w:val="26"/>
        </w:rPr>
        <w:t>в) 10000 рублей, если цена контракта составляет от 50 млн. рублей до 100 млн. рублей (включительно);</w:t>
      </w:r>
    </w:p>
    <w:p w:rsidR="00B8178E" w:rsidRPr="00B8178E" w:rsidRDefault="00B8178E" w:rsidP="00B8178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604"/>
      <w:bookmarkEnd w:id="3"/>
      <w:r w:rsidRPr="00B8178E">
        <w:rPr>
          <w:rFonts w:ascii="Times New Roman" w:hAnsi="Times New Roman" w:cs="Times New Roman"/>
          <w:i/>
          <w:sz w:val="26"/>
          <w:szCs w:val="26"/>
        </w:rPr>
        <w:t>г) 100000 рублей, если цена контракта превышает 100 млн. рублей</w:t>
      </w:r>
      <w:r w:rsidRPr="00B8178E">
        <w:rPr>
          <w:rFonts w:ascii="Times New Roman" w:hAnsi="Times New Roman" w:cs="Times New Roman"/>
          <w:sz w:val="26"/>
          <w:szCs w:val="26"/>
        </w:rPr>
        <w:t>».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178E">
        <w:rPr>
          <w:rFonts w:ascii="Times New Roman" w:hAnsi="Times New Roman" w:cs="Times New Roman"/>
          <w:sz w:val="26"/>
          <w:szCs w:val="26"/>
        </w:rPr>
        <w:t xml:space="preserve">В силу Положения о территориальном органе Федеральной антимонопольной службы, утверждённого Приказом Федеральной антимонопольной службы от 23 июля 2015 года № 649/15, территориальные антимонопольные органы не вправе давать разъяснения по применению действующего законодательства, в связи с чем Тамбовское УФАС России обратится с Федеральную антимонопольную службу за разъяснением по применению пункта 6 </w:t>
      </w:r>
      <w:r w:rsidRPr="00B8178E">
        <w:rPr>
          <w:rFonts w:ascii="Times New Roman" w:hAnsi="Times New Roman" w:cs="Times New Roman"/>
          <w:bCs/>
          <w:sz w:val="26"/>
          <w:szCs w:val="26"/>
        </w:rPr>
        <w:t xml:space="preserve">Постановления Правительства РФ от 30.08.2017 № 1042. 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178E">
        <w:rPr>
          <w:rFonts w:ascii="Times New Roman" w:hAnsi="Times New Roman" w:cs="Times New Roman"/>
          <w:bCs/>
          <w:sz w:val="26"/>
          <w:szCs w:val="26"/>
        </w:rPr>
        <w:t>Разъяснения ФАС России по поставленному вопросу будут доведены до Вашего сведения.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B817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8178E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B8178E">
        <w:rPr>
          <w:rFonts w:ascii="Times New Roman" w:hAnsi="Times New Roman" w:cs="Times New Roman"/>
          <w:bCs/>
          <w:sz w:val="26"/>
          <w:szCs w:val="26"/>
        </w:rPr>
        <w:t>Будет ли реестр недобросовестных заказчиков?</w:t>
      </w:r>
    </w:p>
    <w:p w:rsid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8E">
        <w:rPr>
          <w:rFonts w:ascii="Times New Roman" w:hAnsi="Times New Roman" w:cs="Times New Roman"/>
          <w:b/>
          <w:bCs/>
          <w:sz w:val="26"/>
          <w:szCs w:val="26"/>
        </w:rPr>
        <w:t xml:space="preserve">Ответ: </w:t>
      </w:r>
      <w:r w:rsidRPr="00B8178E">
        <w:rPr>
          <w:rFonts w:ascii="Times New Roman" w:hAnsi="Times New Roman" w:cs="Times New Roman"/>
          <w:bCs/>
          <w:sz w:val="26"/>
          <w:szCs w:val="26"/>
        </w:rPr>
        <w:t xml:space="preserve">Тамбовское УФАС России не располагает сведениями по поставленному вопросу, который не относится к компетенции </w:t>
      </w:r>
      <w:r w:rsidRPr="00B8178E">
        <w:rPr>
          <w:rFonts w:ascii="Times New Roman" w:hAnsi="Times New Roman" w:cs="Times New Roman"/>
          <w:sz w:val="26"/>
          <w:szCs w:val="26"/>
        </w:rPr>
        <w:t>территориальных антимонопольных органов.</w:t>
      </w:r>
    </w:p>
    <w:p w:rsidR="00AD7A91" w:rsidRDefault="00AD7A91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A91" w:rsidRDefault="00AD7A91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AD7A91">
        <w:rPr>
          <w:rFonts w:ascii="Times New Roman" w:hAnsi="Times New Roman" w:cs="Times New Roman"/>
          <w:b/>
          <w:sz w:val="26"/>
          <w:szCs w:val="26"/>
        </w:rPr>
        <w:t>Вопрос:</w:t>
      </w:r>
      <w:r>
        <w:rPr>
          <w:rFonts w:ascii="Times New Roman" w:hAnsi="Times New Roman" w:cs="Times New Roman"/>
          <w:sz w:val="26"/>
          <w:szCs w:val="26"/>
        </w:rPr>
        <w:t xml:space="preserve"> Невозможность (в рамках действующего законодательства) заказчика в оценке физической возможности претендентов – поставщиков осуществить поставку товаров, работ, услуг.</w:t>
      </w:r>
    </w:p>
    <w:p w:rsidR="00AD7A91" w:rsidRPr="00B8178E" w:rsidRDefault="00AD7A91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91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  <w:t>утверждение не содержит вопроса.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78E" w:rsidRPr="00B8178E" w:rsidRDefault="00AD7A91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8178E" w:rsidRPr="00B8178E">
        <w:rPr>
          <w:rFonts w:ascii="Times New Roman" w:hAnsi="Times New Roman" w:cs="Times New Roman"/>
          <w:sz w:val="26"/>
          <w:szCs w:val="26"/>
        </w:rPr>
        <w:t xml:space="preserve">. </w:t>
      </w:r>
      <w:r w:rsidR="00B8178E" w:rsidRPr="00B8178E">
        <w:rPr>
          <w:rFonts w:ascii="Times New Roman" w:hAnsi="Times New Roman" w:cs="Times New Roman"/>
          <w:b/>
          <w:sz w:val="26"/>
          <w:szCs w:val="26"/>
        </w:rPr>
        <w:t>Вопрос:</w:t>
      </w:r>
      <w:r w:rsidR="00B8178E" w:rsidRPr="00B8178E">
        <w:rPr>
          <w:rFonts w:ascii="Times New Roman" w:hAnsi="Times New Roman" w:cs="Times New Roman"/>
          <w:sz w:val="26"/>
          <w:szCs w:val="26"/>
        </w:rPr>
        <w:t xml:space="preserve"> Имеет ли </w:t>
      </w:r>
      <w:r w:rsidR="00B8178E" w:rsidRPr="00B8178E">
        <w:rPr>
          <w:rFonts w:ascii="Times New Roman" w:hAnsi="Times New Roman" w:cs="Times New Roman"/>
          <w:bCs/>
          <w:sz w:val="26"/>
          <w:szCs w:val="26"/>
        </w:rPr>
        <w:t>полномочия местная администрация по принятию (утверждению) нормативов формирования расходов представительного органа? Или по 44-ФЗ это является обязанностью самого заказчика, могут ли быть переданы или каким-либо документом закреплены полномочия по утверждению нормативов формирования расходов для другого заказчика?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8E">
        <w:rPr>
          <w:rFonts w:ascii="Times New Roman" w:hAnsi="Times New Roman" w:cs="Times New Roman"/>
          <w:b/>
          <w:sz w:val="26"/>
          <w:szCs w:val="26"/>
        </w:rPr>
        <w:t>Ответ:</w:t>
      </w:r>
      <w:r w:rsidRPr="00B8178E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территориальном органе Федеральной антимонопольной службы, утверждённым Приказом Федеральной антимонопольной службы от 23 июля 2015 года № 649/15, территориальные антимонопольные органы не наделены функциями и полномочиями по контролю за разграничением полномочий между представительными и исполнительными органами местного самоуправления, в том числе как муниципальными заказчиками. </w:t>
      </w:r>
    </w:p>
    <w:p w:rsidR="00B8178E" w:rsidRPr="00B8178E" w:rsidRDefault="00B8178E" w:rsidP="00B8178E">
      <w:pPr>
        <w:shd w:val="clear" w:color="auto" w:fill="FFFFFF"/>
        <w:tabs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78E">
        <w:rPr>
          <w:rFonts w:ascii="Times New Roman" w:hAnsi="Times New Roman" w:cs="Times New Roman"/>
          <w:bCs/>
          <w:sz w:val="26"/>
          <w:szCs w:val="26"/>
        </w:rPr>
        <w:t xml:space="preserve">Кроме того, в соответствии со статьей 99 </w:t>
      </w:r>
      <w:r w:rsidRPr="00B8178E">
        <w:rPr>
          <w:rFonts w:ascii="Times New Roman" w:hAnsi="Times New Roman" w:cs="Times New Roman"/>
          <w:sz w:val="26"/>
          <w:szCs w:val="26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 антимонопольные органы не наделены соответствующими полномочиями на осуществление контроля в сфере закупок в части утверждения нормативов формирования расходов, а также соблюдения требований к обоснованию закупок и обоснованности закупок, соблюдения правил нормирования в сфере закупок и т.д.</w:t>
      </w:r>
    </w:p>
    <w:p w:rsidR="00AD7A91" w:rsidRDefault="00AD7A91" w:rsidP="00AD7A91">
      <w:pPr>
        <w:shd w:val="clear" w:color="auto" w:fill="FFFFFF"/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_GoBack"/>
      <w:bookmarkEnd w:id="5"/>
    </w:p>
    <w:p w:rsidR="00AD7A91" w:rsidRPr="00AD7A91" w:rsidRDefault="00AD7A91" w:rsidP="00AD7A91">
      <w:pPr>
        <w:shd w:val="clear" w:color="auto" w:fill="FFFFFF"/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91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7A91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AD7A91">
        <w:rPr>
          <w:rFonts w:ascii="Times New Roman" w:hAnsi="Times New Roman" w:cs="Times New Roman"/>
          <w:sz w:val="26"/>
          <w:szCs w:val="26"/>
        </w:rPr>
        <w:t xml:space="preserve"> Появилась ли какие-либо практика или указания по применению статьи 7.32.5 КоАП РФ «нарушение срока и порядка оплаты товаров (работ, услуг) при осуществлении закупок для обеспечения государственных и муниципальных </w:t>
      </w:r>
      <w:r w:rsidRPr="00AD7A91">
        <w:rPr>
          <w:rFonts w:ascii="Times New Roman" w:hAnsi="Times New Roman" w:cs="Times New Roman"/>
          <w:sz w:val="26"/>
          <w:szCs w:val="26"/>
        </w:rPr>
        <w:lastRenderedPageBreak/>
        <w:t>нужд»? Имеется в виду следующее: в какой степени будет оцениваться виновность должностного лица при рассмотрении правонарушения, предусмотренного данной статьей, в случае, если финансовым органом не обеспечено финансирование контракта после его исполнения, при этом должностное лицо заказчика своевременно обращалось в финансовый орган за выделением денежных средств для оплаты исполненного контракта? Будет ли в данном случае должностное лицо заказчика привлекаться к административной ответственности?</w:t>
      </w:r>
    </w:p>
    <w:p w:rsidR="00AD7A91" w:rsidRPr="00AD7A91" w:rsidRDefault="00AD7A91" w:rsidP="00AD7A91">
      <w:pPr>
        <w:shd w:val="clear" w:color="auto" w:fill="FFFFFF"/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91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AD7A91">
        <w:rPr>
          <w:rFonts w:ascii="Times New Roman" w:hAnsi="Times New Roman" w:cs="Times New Roman"/>
          <w:sz w:val="26"/>
          <w:szCs w:val="26"/>
        </w:rPr>
        <w:t>На настоящее время в</w:t>
      </w:r>
      <w:r w:rsidRPr="00AD7A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7A91">
        <w:rPr>
          <w:rFonts w:ascii="Times New Roman" w:hAnsi="Times New Roman" w:cs="Times New Roman"/>
          <w:bCs/>
          <w:sz w:val="26"/>
          <w:szCs w:val="26"/>
        </w:rPr>
        <w:t xml:space="preserve">практике Тамбовского УФАС России имеются случаи рассмотрения административных дел по статье </w:t>
      </w:r>
      <w:r w:rsidRPr="00AD7A91">
        <w:rPr>
          <w:rFonts w:ascii="Times New Roman" w:hAnsi="Times New Roman" w:cs="Times New Roman"/>
          <w:sz w:val="26"/>
          <w:szCs w:val="26"/>
        </w:rPr>
        <w:t xml:space="preserve">7.32.5 КоАП РФ. Методических или распорядительных указаний, распоряжений, др. по применению указанной статьи в адрес Управления не поступало. Рассмотрение дела об административной ответственности по </w:t>
      </w:r>
      <w:r w:rsidRPr="00AD7A91">
        <w:rPr>
          <w:rFonts w:ascii="Times New Roman" w:hAnsi="Times New Roman" w:cs="Times New Roman"/>
          <w:bCs/>
          <w:sz w:val="26"/>
          <w:szCs w:val="26"/>
        </w:rPr>
        <w:t xml:space="preserve">статье </w:t>
      </w:r>
      <w:r w:rsidRPr="00AD7A91">
        <w:rPr>
          <w:rFonts w:ascii="Times New Roman" w:hAnsi="Times New Roman" w:cs="Times New Roman"/>
          <w:sz w:val="26"/>
          <w:szCs w:val="26"/>
        </w:rPr>
        <w:t xml:space="preserve">7.32.5 КоАП РФ и установление вины ответственного должностного лица осуществляется в строгом соответствии с процедурными требованиями Кодекса Российской Федерации об административных правонарушениях с учетом материалов дела, конкретных обстоятельств совершения правонарушения и подтверждающих доказательств. </w:t>
      </w:r>
    </w:p>
    <w:p w:rsidR="00AD7A91" w:rsidRPr="00AD7A91" w:rsidRDefault="00AD7A91" w:rsidP="00AD7A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D7A91">
        <w:rPr>
          <w:rFonts w:ascii="Times New Roman" w:hAnsi="Times New Roman" w:cs="Times New Roman"/>
          <w:bCs/>
          <w:sz w:val="26"/>
          <w:szCs w:val="26"/>
        </w:rPr>
        <w:t>Статья 1.5 «Презумпция невиновности» КоАП РФ определяет следующее:</w:t>
      </w:r>
    </w:p>
    <w:p w:rsidR="00AD7A91" w:rsidRPr="00AD7A91" w:rsidRDefault="00AD7A91" w:rsidP="00A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7A91">
        <w:rPr>
          <w:rFonts w:ascii="Times New Roman" w:hAnsi="Times New Roman" w:cs="Times New Roman"/>
          <w:i/>
          <w:sz w:val="26"/>
          <w:szCs w:val="26"/>
        </w:rPr>
        <w:t>«1.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AD7A91" w:rsidRPr="00AD7A91" w:rsidRDefault="00AD7A91" w:rsidP="00A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7A91">
        <w:rPr>
          <w:rFonts w:ascii="Times New Roman" w:hAnsi="Times New Roman" w:cs="Times New Roman"/>
          <w:i/>
          <w:sz w:val="26"/>
          <w:szCs w:val="26"/>
        </w:rPr>
        <w:t>2.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</w:t>
      </w:r>
      <w:bookmarkStart w:id="6" w:name="Par4"/>
      <w:bookmarkEnd w:id="6"/>
    </w:p>
    <w:p w:rsidR="00AD7A91" w:rsidRPr="00AD7A91" w:rsidRDefault="00AD7A91" w:rsidP="00A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7A91">
        <w:rPr>
          <w:rFonts w:ascii="Times New Roman" w:hAnsi="Times New Roman" w:cs="Times New Roman"/>
          <w:i/>
          <w:sz w:val="26"/>
          <w:szCs w:val="26"/>
        </w:rPr>
        <w:t xml:space="preserve">3. Лицо, привлекаемое к административной ответственности, не обязано доказывать свою невиновность, за исключением случаев, предусмотренных </w:t>
      </w:r>
      <w:hyperlink w:anchor="Par7" w:history="1">
        <w:r w:rsidRPr="00AD7A91">
          <w:rPr>
            <w:rFonts w:ascii="Times New Roman" w:hAnsi="Times New Roman" w:cs="Times New Roman"/>
            <w:i/>
            <w:sz w:val="26"/>
            <w:szCs w:val="26"/>
          </w:rPr>
          <w:t>примечанием</w:t>
        </w:r>
      </w:hyperlink>
      <w:r w:rsidRPr="00AD7A91">
        <w:rPr>
          <w:rFonts w:ascii="Times New Roman" w:hAnsi="Times New Roman" w:cs="Times New Roman"/>
          <w:i/>
          <w:sz w:val="26"/>
          <w:szCs w:val="26"/>
        </w:rPr>
        <w:t xml:space="preserve"> к настоящей статье. </w:t>
      </w:r>
    </w:p>
    <w:p w:rsidR="00AD7A91" w:rsidRPr="00AD7A91" w:rsidRDefault="00AD7A91" w:rsidP="00A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7A91">
        <w:rPr>
          <w:rFonts w:ascii="Times New Roman" w:hAnsi="Times New Roman" w:cs="Times New Roman"/>
          <w:i/>
          <w:sz w:val="26"/>
          <w:szCs w:val="26"/>
        </w:rPr>
        <w:t xml:space="preserve">4. Неустранимые сомнения в виновности лица, привлекаемого к административной ответственности, толкуются в пользу этого лица. </w:t>
      </w:r>
      <w:bookmarkStart w:id="7" w:name="Par7"/>
      <w:bookmarkEnd w:id="7"/>
    </w:p>
    <w:p w:rsidR="00AD7A91" w:rsidRPr="00AD7A91" w:rsidRDefault="00AD7A91" w:rsidP="00A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A91">
        <w:rPr>
          <w:rFonts w:ascii="Times New Roman" w:hAnsi="Times New Roman" w:cs="Times New Roman"/>
          <w:i/>
          <w:sz w:val="26"/>
          <w:szCs w:val="26"/>
          <w:u w:val="single"/>
        </w:rPr>
        <w:t>Примечание.</w:t>
      </w:r>
      <w:r w:rsidRPr="00AD7A91">
        <w:rPr>
          <w:rFonts w:ascii="Times New Roman" w:hAnsi="Times New Roman" w:cs="Times New Roman"/>
          <w:i/>
          <w:sz w:val="26"/>
          <w:szCs w:val="26"/>
        </w:rPr>
        <w:t xml:space="preserve"> Положение </w:t>
      </w:r>
      <w:hyperlink w:anchor="Par4" w:history="1">
        <w:r w:rsidRPr="00AD7A91">
          <w:rPr>
            <w:rFonts w:ascii="Times New Roman" w:hAnsi="Times New Roman" w:cs="Times New Roman"/>
            <w:i/>
            <w:sz w:val="26"/>
            <w:szCs w:val="26"/>
          </w:rPr>
          <w:t>части 3</w:t>
        </w:r>
      </w:hyperlink>
      <w:r w:rsidRPr="00AD7A91">
        <w:rPr>
          <w:rFonts w:ascii="Times New Roman" w:hAnsi="Times New Roman" w:cs="Times New Roman"/>
          <w:i/>
          <w:sz w:val="26"/>
          <w:szCs w:val="26"/>
        </w:rPr>
        <w:t xml:space="preserve"> настоящей статьи не распространяется на административные правонарушения, предусмотренные </w:t>
      </w:r>
      <w:hyperlink r:id="rId9" w:history="1">
        <w:r w:rsidRPr="00AD7A91">
          <w:rPr>
            <w:rFonts w:ascii="Times New Roman" w:hAnsi="Times New Roman" w:cs="Times New Roman"/>
            <w:i/>
            <w:sz w:val="26"/>
            <w:szCs w:val="26"/>
          </w:rPr>
          <w:t>главой 12</w:t>
        </w:r>
      </w:hyperlink>
      <w:r w:rsidRPr="00AD7A91">
        <w:rPr>
          <w:rFonts w:ascii="Times New Roman" w:hAnsi="Times New Roman" w:cs="Times New Roman"/>
          <w:i/>
          <w:sz w:val="26"/>
          <w:szCs w:val="26"/>
        </w:rPr>
        <w:t xml:space="preserve"> настоящего Кодекса,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 либо собственником,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</w:t>
      </w:r>
      <w:r w:rsidRPr="00AD7A91">
        <w:rPr>
          <w:rFonts w:ascii="Times New Roman" w:hAnsi="Times New Roman" w:cs="Times New Roman"/>
          <w:sz w:val="26"/>
          <w:szCs w:val="26"/>
        </w:rPr>
        <w:t>».</w:t>
      </w:r>
    </w:p>
    <w:p w:rsidR="00BD254B" w:rsidRDefault="00BD254B" w:rsidP="00B8178E">
      <w:pPr>
        <w:shd w:val="clear" w:color="auto" w:fill="FFFFFF"/>
        <w:tabs>
          <w:tab w:val="left" w:pos="9360"/>
        </w:tabs>
        <w:ind w:firstLine="709"/>
        <w:jc w:val="both"/>
        <w:rPr>
          <w:bCs/>
          <w:sz w:val="26"/>
          <w:szCs w:val="26"/>
        </w:rPr>
      </w:pPr>
    </w:p>
    <w:p w:rsidR="00AD7A91" w:rsidRPr="00AF4969" w:rsidRDefault="00AD7A91" w:rsidP="00B8178E">
      <w:pPr>
        <w:shd w:val="clear" w:color="auto" w:fill="FFFFFF"/>
        <w:tabs>
          <w:tab w:val="left" w:pos="9360"/>
        </w:tabs>
        <w:ind w:firstLine="709"/>
        <w:jc w:val="both"/>
        <w:rPr>
          <w:bCs/>
          <w:sz w:val="26"/>
          <w:szCs w:val="26"/>
        </w:rPr>
      </w:pPr>
    </w:p>
    <w:bookmarkEnd w:id="4"/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3A56" w:rsidRDefault="00923A56" w:rsidP="00304E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23A56" w:rsidSect="0038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10" w:rsidRDefault="004B4E10" w:rsidP="00304E57">
      <w:pPr>
        <w:spacing w:after="0" w:line="240" w:lineRule="auto"/>
      </w:pPr>
      <w:r>
        <w:separator/>
      </w:r>
    </w:p>
  </w:endnote>
  <w:endnote w:type="continuationSeparator" w:id="0">
    <w:p w:rsidR="004B4E10" w:rsidRDefault="004B4E10" w:rsidP="003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10" w:rsidRDefault="004B4E10" w:rsidP="00304E57">
      <w:pPr>
        <w:spacing w:after="0" w:line="240" w:lineRule="auto"/>
      </w:pPr>
      <w:r>
        <w:separator/>
      </w:r>
    </w:p>
  </w:footnote>
  <w:footnote w:type="continuationSeparator" w:id="0">
    <w:p w:rsidR="004B4E10" w:rsidRDefault="004B4E10" w:rsidP="0030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FD"/>
    <w:multiLevelType w:val="hybridMultilevel"/>
    <w:tmpl w:val="7578F42A"/>
    <w:lvl w:ilvl="0" w:tplc="F79812B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3604DA"/>
    <w:multiLevelType w:val="hybridMultilevel"/>
    <w:tmpl w:val="B83AFFD4"/>
    <w:lvl w:ilvl="0" w:tplc="35FED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8A242C4"/>
    <w:multiLevelType w:val="hybridMultilevel"/>
    <w:tmpl w:val="0B6C6EDE"/>
    <w:lvl w:ilvl="0" w:tplc="A31AC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526B13"/>
    <w:multiLevelType w:val="hybridMultilevel"/>
    <w:tmpl w:val="7144B9E0"/>
    <w:lvl w:ilvl="0" w:tplc="891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38"/>
    <w:rsid w:val="000014B5"/>
    <w:rsid w:val="00022B3E"/>
    <w:rsid w:val="00024969"/>
    <w:rsid w:val="00041F69"/>
    <w:rsid w:val="00056399"/>
    <w:rsid w:val="0006679D"/>
    <w:rsid w:val="00071631"/>
    <w:rsid w:val="000877C7"/>
    <w:rsid w:val="000B11E4"/>
    <w:rsid w:val="000B67F3"/>
    <w:rsid w:val="000E4949"/>
    <w:rsid w:val="000F2187"/>
    <w:rsid w:val="0010749F"/>
    <w:rsid w:val="00153735"/>
    <w:rsid w:val="00187B31"/>
    <w:rsid w:val="00192F72"/>
    <w:rsid w:val="001A18DB"/>
    <w:rsid w:val="001E46D1"/>
    <w:rsid w:val="00243625"/>
    <w:rsid w:val="00304E57"/>
    <w:rsid w:val="0031724D"/>
    <w:rsid w:val="00321981"/>
    <w:rsid w:val="0036088D"/>
    <w:rsid w:val="00380738"/>
    <w:rsid w:val="00383D27"/>
    <w:rsid w:val="00394F14"/>
    <w:rsid w:val="004248CD"/>
    <w:rsid w:val="00455BB3"/>
    <w:rsid w:val="004B4E10"/>
    <w:rsid w:val="004C2C7E"/>
    <w:rsid w:val="004E403C"/>
    <w:rsid w:val="004F1AE1"/>
    <w:rsid w:val="00525EE3"/>
    <w:rsid w:val="00586C08"/>
    <w:rsid w:val="005B1FD4"/>
    <w:rsid w:val="005E4821"/>
    <w:rsid w:val="00677ED5"/>
    <w:rsid w:val="006A61C6"/>
    <w:rsid w:val="006C5013"/>
    <w:rsid w:val="00753213"/>
    <w:rsid w:val="00762551"/>
    <w:rsid w:val="00804568"/>
    <w:rsid w:val="00807CC4"/>
    <w:rsid w:val="008912B8"/>
    <w:rsid w:val="00904715"/>
    <w:rsid w:val="00915547"/>
    <w:rsid w:val="00923A56"/>
    <w:rsid w:val="00936F29"/>
    <w:rsid w:val="00943A3F"/>
    <w:rsid w:val="00963673"/>
    <w:rsid w:val="009E7BBA"/>
    <w:rsid w:val="00A13CA8"/>
    <w:rsid w:val="00A228C1"/>
    <w:rsid w:val="00A72595"/>
    <w:rsid w:val="00A94964"/>
    <w:rsid w:val="00AB0A41"/>
    <w:rsid w:val="00AB4E9C"/>
    <w:rsid w:val="00AD7A91"/>
    <w:rsid w:val="00AF3DFA"/>
    <w:rsid w:val="00B522F9"/>
    <w:rsid w:val="00B53FEA"/>
    <w:rsid w:val="00B8178E"/>
    <w:rsid w:val="00BD254B"/>
    <w:rsid w:val="00BE02CC"/>
    <w:rsid w:val="00BF0F40"/>
    <w:rsid w:val="00BF1800"/>
    <w:rsid w:val="00C34A27"/>
    <w:rsid w:val="00C65E98"/>
    <w:rsid w:val="00C86916"/>
    <w:rsid w:val="00C916D4"/>
    <w:rsid w:val="00D67480"/>
    <w:rsid w:val="00DE4518"/>
    <w:rsid w:val="00E16D28"/>
    <w:rsid w:val="00E74027"/>
    <w:rsid w:val="00EB0428"/>
    <w:rsid w:val="00EE0A48"/>
    <w:rsid w:val="00EF5CC3"/>
    <w:rsid w:val="00F2346D"/>
    <w:rsid w:val="00F254A3"/>
    <w:rsid w:val="00F54A75"/>
    <w:rsid w:val="00F75F29"/>
    <w:rsid w:val="00FA1B47"/>
    <w:rsid w:val="00FB62D1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0789-8D47-4B8E-93C9-153D7E34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0738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paragraph" w:styleId="a3">
    <w:name w:val="List Paragraph"/>
    <w:basedOn w:val="a"/>
    <w:uiPriority w:val="34"/>
    <w:qFormat/>
    <w:rsid w:val="003807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E57"/>
  </w:style>
  <w:style w:type="paragraph" w:styleId="a6">
    <w:name w:val="footer"/>
    <w:basedOn w:val="a"/>
    <w:link w:val="a7"/>
    <w:uiPriority w:val="99"/>
    <w:unhideWhenUsed/>
    <w:rsid w:val="003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E57"/>
  </w:style>
  <w:style w:type="character" w:styleId="a8">
    <w:name w:val="Hyperlink"/>
    <w:basedOn w:val="a0"/>
    <w:uiPriority w:val="99"/>
    <w:unhideWhenUsed/>
    <w:rsid w:val="00BF0F40"/>
    <w:rPr>
      <w:strike w:val="0"/>
      <w:dstrike w:val="0"/>
      <w:color w:val="007C85"/>
      <w:u w:val="none"/>
      <w:effect w:val="none"/>
    </w:rPr>
  </w:style>
  <w:style w:type="character" w:customStyle="1" w:styleId="label3">
    <w:name w:val="label3"/>
    <w:basedOn w:val="a0"/>
    <w:rsid w:val="00BF0F40"/>
  </w:style>
  <w:style w:type="paragraph" w:styleId="a9">
    <w:name w:val="Normal (Web)"/>
    <w:basedOn w:val="a"/>
    <w:uiPriority w:val="99"/>
    <w:unhideWhenUsed/>
    <w:rsid w:val="00A2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28C1"/>
    <w:rPr>
      <w:i/>
      <w:iCs/>
    </w:rPr>
  </w:style>
  <w:style w:type="character" w:customStyle="1" w:styleId="apple-converted-space">
    <w:name w:val="apple-converted-space"/>
    <w:basedOn w:val="a0"/>
    <w:rsid w:val="00A228C1"/>
  </w:style>
  <w:style w:type="character" w:styleId="ab">
    <w:name w:val="Strong"/>
    <w:basedOn w:val="a0"/>
    <w:uiPriority w:val="22"/>
    <w:qFormat/>
    <w:rsid w:val="00586C08"/>
    <w:rPr>
      <w:b/>
      <w:bCs/>
    </w:rPr>
  </w:style>
  <w:style w:type="paragraph" w:customStyle="1" w:styleId="ac">
    <w:name w:val="АСТАНДАРТ"/>
    <w:basedOn w:val="a"/>
    <w:link w:val="ad"/>
    <w:qFormat/>
    <w:rsid w:val="00C65E98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d">
    <w:name w:val="АСТАНДАРТ Знак"/>
    <w:link w:val="ac"/>
    <w:locked/>
    <w:rsid w:val="00C65E9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3">
    <w:name w:val="Основной текст (3)_"/>
    <w:basedOn w:val="a0"/>
    <w:link w:val="30"/>
    <w:rsid w:val="00C65E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5E9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2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AFE5AA3639660DE62843DC9DB05AA6C9951ED2BB43B7C96161CF8117BD71C50D3A0FE8A4F880EcD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C4F573E604D0A37B9F47DC633DDC9AC3C77409A07F62CE743B47F9717D70A41F7C869C37C8862VC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Семикина</dc:creator>
  <cp:lastModifiedBy>Semikina</cp:lastModifiedBy>
  <cp:revision>6</cp:revision>
  <cp:lastPrinted>2017-09-25T08:40:00Z</cp:lastPrinted>
  <dcterms:created xsi:type="dcterms:W3CDTF">2017-10-03T07:06:00Z</dcterms:created>
  <dcterms:modified xsi:type="dcterms:W3CDTF">2017-10-04T07:13:00Z</dcterms:modified>
</cp:coreProperties>
</file>